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70"/>
        <w:sectPr>
          <w:pgSz w:w="11906" w:h="16838"/>
          <w:pgMar w:top="851" w:right="851" w:bottom="709" w:left="1701" w:header="709" w:footer="709" w:gutter="0"/>
          <w:cols w:space="708" w:num="1"/>
          <w:docGrid w:linePitch="360" w:charSpace="0"/>
        </w:sectPr>
      </w:pPr>
    </w:p>
    <w:tbl>
      <w:tblPr>
        <w:tblStyle w:val="17"/>
        <w:tblW w:w="0" w:type="auto"/>
        <w:tblInd w:w="84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6"/>
        <w:gridCol w:w="3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3" w:type="dxa"/>
          </w:tcPr>
          <w:p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>
            <w:pPr>
              <w:spacing w:after="0" w:line="240" w:lineRule="auto"/>
              <w:ind w:firstLine="567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УТВЕРЖДЁН</w:t>
            </w:r>
          </w:p>
          <w:p>
            <w:pPr>
              <w:spacing w:after="0" w:line="240" w:lineRule="auto"/>
              <w:ind w:firstLine="567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Родыгинского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от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>
      <w:pPr>
        <w:spacing w:after="0" w:line="240" w:lineRule="auto"/>
        <w:ind w:left="12191"/>
        <w:jc w:val="both"/>
        <w:rPr>
          <w:rFonts w:ascii="Times New Roman" w:hAnsi="Times New Roman" w:eastAsia="Times New Roman" w:cs="Times New Roman"/>
          <w:color w:val="000000"/>
          <w:sz w:val="68"/>
          <w:szCs w:val="68"/>
          <w:lang w:eastAsia="en-US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>ПЛАН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>мероприятий по противодействию коррупции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 xml:space="preserve">администрации 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 w:eastAsia="en-US"/>
        </w:rPr>
        <w:t>Родыгинского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 xml:space="preserve"> сельского поселения Советского района Кировской области</w:t>
      </w:r>
    </w:p>
    <w:p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на 2025-2028 годы</w:t>
      </w:r>
    </w:p>
    <w:p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sz w:val="44"/>
          <w:szCs w:val="44"/>
        </w:rPr>
      </w:pPr>
    </w:p>
    <w:tbl>
      <w:tblPr>
        <w:tblStyle w:val="4"/>
        <w:tblW w:w="15168" w:type="dxa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9"/>
        <w:gridCol w:w="3736"/>
        <w:gridCol w:w="2338"/>
        <w:gridCol w:w="1984"/>
        <w:gridCol w:w="2668"/>
        <w:gridCol w:w="3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Header/>
        </w:trPr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Исполнитель мероприятия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Целевой показатель и индикатор, применяемые при оценке выполнения мероприятия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Ожидаемый результат реализации мероприятия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реализации антикоррупционной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  <w:vAlign w:val="center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  <w:vAlign w:val="center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  <w:vAlign w:val="center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плана по противодействию коррупции (внесение изменений в план по противодействию коррупции)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 30 апреля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2025 года,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далее – по мере необходимости</w:t>
            </w:r>
          </w:p>
        </w:tc>
        <w:tc>
          <w:tcPr>
            <w:tcW w:w="2668" w:type="dxa"/>
            <w:tcMar>
              <w:top w:w="0" w:type="dxa"/>
            </w:tcMar>
            <w:vAlign w:val="center"/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наличие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в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утвержденного плана по противодействию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1.2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Назначение муниципальных служащих, ответственных за работу по профилактике коррупционных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2025-2028 годов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обеспечение организации работы по профилактике коррупционных и иных правонарушений в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1.3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анализа содержания нормативных правовых и иных актов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сфере противодействия коррупции, их актуализация в связи с внесением изменений в антикоррупционное законодательство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своевременное внесение изменений в нормативные правовые и иные акты в сфере противодействия коррупции в связи с внесением изменений в антикоррупционное законодательство Российской Федерации и Кировской области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1.4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анализа исполнения муниципальными учреждениями и иными подведомственными организациями Кировской области требований законодательства о противодействии коррупции, в том числе анализа соблюдения руководителями указанных учреждений и организаций, установленных ограничений, запретов и обязанностей, исполнения плановых мероприятий по противодействию коррупции, организация работы по предупреждению коррупции в муниципальных учреждениях и иных подведомственных организациях Кировской области 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 15 июля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до 15 января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аналитических справок об оценке состояния антикоррупционной работы, проводимой в муниципальных учреждениях и иных подведомственных организациях Кировской области;</w:t>
            </w:r>
          </w:p>
          <w:p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обеспечение эффективного осуществления в муниципальных учреждениях и иных подведомственных организациях Кировской области мер по профилактике коррупционных и иных правонарушений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Проведение оценки эффективности деятельности по профилактике коррупционных и иных правонарушений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1 февраля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в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заполненной формы </w:t>
            </w:r>
            <w:r>
              <w:fldChar w:fldCharType="begin"/>
            </w:r>
            <w:r>
              <w:instrText xml:space="preserve"> HYPERLINK "https://login.consultant.ru/link/?req=doc&amp;base=RLAW240&amp;n=220668&amp;dst=100035" </w:instrText>
            </w:r>
            <w:r>
              <w:fldChar w:fldCharType="separate"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критериев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fldChar w:fldCharType="end"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оценки эффективности деятельности по профилактике коррупционных и иных правонарушений органов исполнительной власти Кировской области и органов местного самоуправления Кировской области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службы, должности руководителей муниципальных учреждений Кировской области,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обеспечение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5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Привлечение к участию в работе комиссии по соблюдению требований к служебному поведению муниципальных служащих и урегулированию конфликта интересов представителей институтов гражданского общества 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доля заседаний комиссий по соблюдению требований к служебному поведению муниципальных служащих и урегулированию конфликта интересов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 участием представителей институтов гражданского общества от общего количества заседаний указанных комиссий – не менее 100 %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повышение эффективности 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Кировской области 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 при поступлении информации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Кировской области, к общему количеству сведений, представленных указанными лицами, – не менее 100 %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 Кировской области, сведений, установленных законодательством Российской Федерации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 муниципальной службе и противодействии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2.4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проверок достоверности и полноты сведений, установленных 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Кировской области 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 при поступлении информации, являющейся основанием для проведения проверки представленных сведений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отношение количества 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 Кировской области, к количеству фактов, являющихся основаниями для проведения таких проверок, – не менее 100 %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обеспечение своевременного и полного представления гражданами, претендующими на замещение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должностей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муниципальной службы, должностей руководителей муниципальных учреждений Кировской области, сведений, установленных законодательством Российской Федерации и Кировской области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 противодействии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Проведение оценки коррупционных рисков, возникающих при реализации 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возложенных на него полномочий, в том числе при реализации национальных проектов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аналитической справки о результатах проведения оценки коррупционных рисков, возникающих при реализации 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cs="Times New Roman" w:eastAsiaTheme="minorHAnsi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возложенных на него полномочий, в том числе при реализации национальных проектов;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в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 актуального перечня должностей муниципальной службы, замещение которых связано с коррупционными рисками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Прием справок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Кировской области, в соответствии с Федеральным законом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обеспечение своевременного исполнения муниципальными служащими, руководителями муниципальных учреждений Кировской области обязанности по представлению 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 соответствии с Федеральным законом от 25.12.2008 № 273-ФЗ «О противодействии коррупции»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862" w:hRule="atLeast"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2.7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анализа сведений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 доходах, расходах,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 Кировской области, в соответствии с Федеральным законом от 25.12.2008 № 273-ФЗ «О противодействии коррупции», а также проведение проверок достоверности и полноты представленных указанными лицами сведений о доходах, расходах, об имуществе и обязательствах имущественного 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отношение количества представленных лицами, замещающими должности муниципальной службы, должности руководителей муниципальных учреждений Кировской области,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характера, представленных указанными лицами,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аналитической справки об итогах декларационной кампании;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2.8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 30 декабря 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отношение количества лиц, замещающих муниципальные должности,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 xml:space="preserve">должности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аналитической справки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выявление конфликта интересов, связанного с участием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выявление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  <w:trHeight w:val="736" w:hRule="atLeast"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2.9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применения представителем нанимателя предусмотренных законодательством мер юридической ответственности в каждом случае несоблюдения лицами, замещающими муниципальные должности, должности муниципальной службы, должности руководителей муниципальных учреждений, запретов, ограничений и требований, неисполнения ими 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 при наличии оснований для применения мер юридической ответственности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обеспечение эффективной реализации</w:t>
            </w:r>
            <w:r>
              <w:rPr>
                <w:rFonts w:ascii="Times New Roman" w:hAnsi="Times New Roman" w:cs="Times New Roman" w:eastAsiaTheme="minorHAnsi"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мер по профилактике коррупционных и иных правонарушений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по мере поступления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 в отношении которых проведен анализ, к общему количеству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мотивированных заключений о соблюдении гражданами, замещавшими должности муниципальной службы, требований статьи 12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Федерального закона от 25.12.2008 № 273-ФЗ «О противодействии коррупции»;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выявление случаев несоблюдения гражданами, замещавшими должности муниципальной службы, ограничений при заключении ими после увольнения с муниципальной службы трудового и (или) гражданско-правового договора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Организация приема от лиц, замещающих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муниципальные должности, должности муниципальной службы,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сведений о близких родственниках, а также их аффилированности коммерческим (некоммерческим) 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лиц, замещающих муниципальные должности, должности муниципальной службы, представивших сведения о близких родственниках, а также их аффилированности коммерческим (некоммерческим) организациям, к общему количеству лиц, замещающих муниципальные должности, должности муниципальной службы, обязанных представлять такие сведения,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обеспечение своевременного исполнения лицами, замещающими муниципальные должности, должности муниципальной службы, обязанности по представлению сведений о близких родственниках, а также их аффилированности коммерческим (некоммерческим) организациям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Проведение анализа сведений о близких родственниках, а также их аффилированности коммерческим (некоммерческим) организациям, представленных лицами, замещающими муниципальные должности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отношение количества представленных лицами, замещающими муниципальные должности,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должности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муниципальной службы, сведений о близких родственниках, а также их аффилированности коммерческим (некоммерческим) организациям, в отношении которых проведен анализ, к общему количеству сведений о близких родственниках, а также их аффилированности коммерческим организациям, представленных указанными лицами,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аналитической справки о результатах анализа сведений о близких родственниках, а также их аффилированности коммерческим (некоммерческим) организациям, представленных лицами, замещающими муниципальные должности, должности муниципальной службы;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Представление сведений о ходе реализации мер по противодействию коррупции в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поселения, подготовленных с использованием единой системы мониторинга антикоррупционной работы АИС «Мониторинг»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10 января,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10 апреля,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10 июля,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10 сентября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количество представленных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 сведений о ходе реализации мер по противодействию коррупции – не менее 4 единиц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сведений о ходе реализации мер по противодействию коррупции, подготовленных с использованием единой системы мониторинга антикоррупционной работы АИС «Мониторинг»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Организация участия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>ежегодно,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муниципальных служащих, в должностные обязанности которых 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справки о мероприятиях, направленных на антикоррупционное просвещение, в которой содержится информация об организации участия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правовое просвещение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270" w:hRule="atLeast"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Кировской области доводится 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  <w:p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информирование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Кировской области о порядке и сроках представления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сведений о доходах, расходах, об имуществе и обязательствах имущественного характера, о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для муниципальных служащих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2 единиц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информирование муниципальных служащих 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запрете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Проведение для муниципальных служащих, руководителей муниципальных учреждений Кировской области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 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количество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, проведенных 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справки о мероприятиях, направленных на антикоррупционное просвещение, в которой содержится информация об участии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руководителей муниципальных учреждений Кировской области в мероприятиях по разъяснению ограничений и запретов;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информирование муниципальных служащих, руководителей муниципальных учреждений Кировской области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Организация повышения квалификации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2025-2028 годов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течение 2025-2028 годов, к общему количеству муниципальных служащих, в должностные обязанности которых входит участие в противодействии коррупции,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 а также доведение до них в рамках проведения таких мероприятий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ежегодно, 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до 30 декабря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справки о мероприятиях, направленных на антикоррупционное просвещение в которой содержится информация об участии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11" w:hRule="atLeast"/>
        </w:trPr>
        <w:tc>
          <w:tcPr>
            <w:tcW w:w="589" w:type="dxa"/>
            <w:tcBorders>
              <w:bottom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Borders>
              <w:bottom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Borders>
              <w:bottom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ежегодно,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до 30 декабря</w:t>
            </w:r>
          </w:p>
        </w:tc>
        <w:tc>
          <w:tcPr>
            <w:tcW w:w="2668" w:type="dxa"/>
            <w:tcBorders>
              <w:bottom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100 %</w:t>
            </w:r>
          </w:p>
        </w:tc>
        <w:tc>
          <w:tcPr>
            <w:tcW w:w="3853" w:type="dxa"/>
            <w:tcBorders>
              <w:bottom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справки о мероприятиях, направленных на антикоррупционное просвещение, в которой содержится информация об участии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3.8</w:t>
            </w:r>
          </w:p>
        </w:tc>
        <w:tc>
          <w:tcPr>
            <w:tcW w:w="3736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в течение 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2025-2028 годов</w:t>
            </w:r>
          </w:p>
        </w:tc>
        <w:tc>
          <w:tcPr>
            <w:tcW w:w="2668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получивших дополнительное профессиональное образование в области противодействия коррупции в течение 2025-2028 годов,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100 %</w:t>
            </w:r>
          </w:p>
        </w:tc>
        <w:tc>
          <w:tcPr>
            <w:tcW w:w="3853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3.9</w:t>
            </w:r>
          </w:p>
        </w:tc>
        <w:tc>
          <w:tcPr>
            <w:tcW w:w="3736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просветительских и иных мероприятий в сфере противодействия коррупции, приуроченных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 Международному дню борьбы с коррупцией (9 декабря) (тестирование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9 декабря</w:t>
            </w:r>
          </w:p>
        </w:tc>
        <w:tc>
          <w:tcPr>
            <w:tcW w:w="2668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количество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просветительских и иных мероприятий в сфере противодействия коррупции, приуроченных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 Международному дню борьбы с коррупцией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(9 декабря), – не менее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1 мероприятия в год</w:t>
            </w:r>
          </w:p>
        </w:tc>
        <w:tc>
          <w:tcPr>
            <w:tcW w:w="3853" w:type="dxa"/>
            <w:tcBorders>
              <w:top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формирование в обществе нетерпимого отношения к коррупционным проявлениям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муниципальных учреждений,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антикоррупционной экспертизы нормативных правовых актов и их проектов, подготовленных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при осуществлении  их правовой экспертизы и мониторинге их применения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Отдел по взаимодействию с районной Думой и ОМС администрации Советского района (по согласованию, при наличии соответствующих соглашений)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отношение количества нормативных правовых актов и их проектов, подготовленных 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поселения, в отношении которых отделом по взаимодействию с районной Думой и ОМС администрации Советского района (по согласованию, при  наличии соответствующих соглашений)  проведена антикоррупционная экспертиза, к общему количеству нормативных правовых актов и их проектов, подготовленных 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поселения, – не менее 100 %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выявление в нормативных правовых актах и их проектах коррупциогенных факторов, способствующих формированию условий для проявления коррупции, и их устранение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4.2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повышение эффективности принимаемых мер по предупреждению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анализа закупочной деятельности, в том числе в рамках реализации национальных проектов, на предмет аффилированности либо наличия иных коррупционных проявлений между должностными лицами заказчиков и участников закупок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 xml:space="preserve"> товаров, работ, услуг для обеспечения муниципальных нужд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обеспечение проведения аналогичного анализа в муниципальных учреждениях Кировской области 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по мере осуществления закупок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>товаров, работ, услуг для обеспечения муниципальных нужд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отношение количества заключенных 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поселения, муниципальными учреждениями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исключение (минимизация) коррупционных рисков при реализации положений законодательства в сфере закупок товаров, работ, услуг для обеспечения муниципальных нужд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в муниципальных учреждениях, иных организациях Кировской области проверок соблюдения требований </w:t>
            </w:r>
            <w:r>
              <w:fldChar w:fldCharType="begin"/>
            </w:r>
            <w:r>
              <w:instrText xml:space="preserve"> HYPERLINK "consultantplus://offline/ref=9A15BC705B83B425D706B25649CF909DDCCAA43FADE849EA3F7AD28983F30EA3DEF2A5714DC9C38824B6EB7501114037F13B150666cAF"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статьи 13.3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Федерального закона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 реже 1 раза в 3 года в соответствии с планами проверок соблюдения муниципальными учреждениями, иными организациями Кировской области требований </w:t>
            </w:r>
            <w:r>
              <w:fldChar w:fldCharType="begin"/>
            </w:r>
            <w:r>
              <w:instrText xml:space="preserve"> HYPERLINK "consultantplus://offline/ref=9A15BC705B83B425D706B25649CF909DDCCAA43FADE849EA3F7AD28983F30EA3DEF2A5714DC9C38824B6EB7501114037F13B150666cAF"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статьи 13.3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Федерального закона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 25.12.2008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273-ФЗ «О противодействии коррупции»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справок о результатах проверок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соблюдения муниципальными учреждениями, иными подведомственными организациями Кировской области требований </w:t>
            </w:r>
            <w:r>
              <w:fldChar w:fldCharType="begin"/>
            </w:r>
            <w:r>
              <w:instrText xml:space="preserve"> HYPERLINK "consultantplus://offline/ref=9A15BC705B83B425D706B25649CF909DDCCAA43FADE849EA3F7AD28983F30EA3DEF2A5714DC9C38824B6EB7501114037F13B150666cAF"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статьи 13.3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Федерального закона от 25.12.2008 № 273-ФЗ «О противодействии коррупции»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отношение количества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представленных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деклараций о возможной личной заинтересованности, в отношении которых проведен анализ, к общему количеству представленных указанными лицами деклараций о возможной личной заинтересованности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на которых сформированы профили,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актуальных профилей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4.7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и актуализация реестра (карты) коррупционных рисков, возникающих при осуществлении закупок товаров, работ, услуг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(далее – план (реестр) мер)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исполняющий обязанности главы администрации,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поселения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утвержденных реестров (карт)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коррупционных рисков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и планов (реестров) 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010" w:hRule="atLeast"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4.8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Обеспечение реализации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плана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наличие доклада о результатах реализации плана (реестра) 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Взаимодействие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5.1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Анализ поступивших в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администрацию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обращений граждан и организаций, в том числе по телефону доверия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(горячей линии, электронной приемной)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, на предмет наличия в них информации о фактах коррупции со стороны лиц, замещающих муниципальные должности, муниципальных служащих, работников муниципальных учреждений Кировской области 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отношение количества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поступивших в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администрацию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обращений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администрацию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обращений граждан и организаций – не менее 100 %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наличие информации о результатах рассмотрения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обращений граждан и организаций, в том числе поступивших по телефону доверия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(горячей линии, электронной приемной)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,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5.2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Обеспечение взаимодействия 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 средствами массовой информации по вопросам противодействия коррупции, в том числе размещения в средствах массовой информации информационных материалов по вопросам антикоррупционной деятельности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ежегодно,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количество информационных материалов по вопросам антикоррупционной деятельности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поселения,</w:t>
            </w:r>
            <w:r>
              <w:rPr>
                <w:rFonts w:ascii="Times New Roman" w:hAnsi="Times New Roman" w:cs="Times New Roman" w:eastAsiaTheme="minorHAnsi"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размещенных в средствах массовой информации в течение отчетного года, – не менее 1 единицы</w:t>
            </w: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размещение в средствах массовой информации информационных материалов по вопросам антикоррупционной деятельности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5.3</w:t>
            </w:r>
          </w:p>
        </w:tc>
        <w:tc>
          <w:tcPr>
            <w:tcW w:w="3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усиление общественного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контроля за выполнением мероприятий, предусмотренных планом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(программой)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по противодействию коррупции; обеспечение открытости обсуждения мер по противодействию коррупции, принимаемых 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852" w:hRule="atLeast"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5.4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Размещение на информационном стенде и в подразделе, посвященном вопросам противодействия коррупции, официального сайта Советского района в разделе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актуальной информации о принимаемых ими мерах по предупреждению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обеспечение прозрачности и доступности информации об антикоррупционной деятельности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Мониторинг информации о фактах коррупции в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поселения,</w:t>
            </w:r>
            <w:r>
              <w:rPr>
                <w:rFonts w:ascii="Times New Roman" w:hAnsi="Times New Roman" w:cs="Times New Roman" w:eastAsiaTheme="minorHAnsi"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 учреждениях, опубликованной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в средствах массовой информации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анализ информации о фактах коррупции, опубликованной в средствах массовой информации, принятие необходимых 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Проведение мероприятий по противодействию коррупции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 с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Мониторинг предоставления муниципальных услуг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администрацией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.С. Курилова, главный специалист администрации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8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повышение качества и доступности предоставления гражданам муниципальных услуг, прозрачности деятельности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повышение доверия населения к деятельности 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</w:trPr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6.2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аффилированности либо наличия иных коррупционных проявлений между должностными лицами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получателями бюджетных средств или иных ограниченных ресурсов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ежегодно, по мере предоставления бюджетных средств или иных ограниченных ресурсов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отношение количества предоставленных в отчетном периоде бюджетных средств (субсидии, гранты и др.), а также иных ограниченных ресурсов (квоты, частоты, участки недр и др.), в отношении которых проведен анализ на предмет аффилированности либо наличия иных коррупционных проявлений между должностными лицами администрации 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Родыгинского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сельского поселения и получателем бюджетных средств или иного ограниченного ресурса, к общему количеству предоставленных в отчетном периоде бюджетных средств, а также иных ограниченных ресурсов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совершенствование форм и методов выявления аффилированных связей при предоставлении бюджетных средств или иных ограниченных ресурсов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89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6.3</w:t>
            </w:r>
          </w:p>
        </w:tc>
        <w:tc>
          <w:tcPr>
            <w:tcW w:w="3736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Осуществление контроля за использованием объектов муниципальной собственности, в том числе за соответствием 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.Н. Петров,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исполняющий обязанности главы администрации поселения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выявление фактов нецелевого использования объектов муниципальной собственности;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>
      <w:pPr>
        <w:tabs>
          <w:tab w:val="left" w:pos="451"/>
          <w:tab w:val="left" w:pos="2571"/>
          <w:tab w:val="center" w:pos="7143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6"/>
          <w:lang w:eastAsia="en-US"/>
        </w:rPr>
        <w:t xml:space="preserve">__________ </w:t>
      </w:r>
    </w:p>
    <w:sectPr>
      <w:pgSz w:w="16838" w:h="11906" w:orient="landscape"/>
      <w:pgMar w:top="1701" w:right="851" w:bottom="851" w:left="70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mirrorMargin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CE"/>
    <w:rsid w:val="00005B6B"/>
    <w:rsid w:val="00087F9F"/>
    <w:rsid w:val="000A6D4A"/>
    <w:rsid w:val="000B29F5"/>
    <w:rsid w:val="000C3FE4"/>
    <w:rsid w:val="000D66F9"/>
    <w:rsid w:val="000E18EC"/>
    <w:rsid w:val="0011463E"/>
    <w:rsid w:val="00141946"/>
    <w:rsid w:val="001B7FED"/>
    <w:rsid w:val="001F6FC6"/>
    <w:rsid w:val="001F732B"/>
    <w:rsid w:val="00206588"/>
    <w:rsid w:val="00212F6B"/>
    <w:rsid w:val="00226627"/>
    <w:rsid w:val="00242FEC"/>
    <w:rsid w:val="002B0E4D"/>
    <w:rsid w:val="002B211A"/>
    <w:rsid w:val="002B7326"/>
    <w:rsid w:val="002D32B7"/>
    <w:rsid w:val="002E6EF3"/>
    <w:rsid w:val="002F52C1"/>
    <w:rsid w:val="00315445"/>
    <w:rsid w:val="0032643B"/>
    <w:rsid w:val="00386EFF"/>
    <w:rsid w:val="00390FF8"/>
    <w:rsid w:val="0039312E"/>
    <w:rsid w:val="003E39A8"/>
    <w:rsid w:val="003E7C68"/>
    <w:rsid w:val="00437868"/>
    <w:rsid w:val="0046211E"/>
    <w:rsid w:val="004843D8"/>
    <w:rsid w:val="004D07CE"/>
    <w:rsid w:val="004D1638"/>
    <w:rsid w:val="00531B94"/>
    <w:rsid w:val="00537D7D"/>
    <w:rsid w:val="00547A6F"/>
    <w:rsid w:val="00573C99"/>
    <w:rsid w:val="005762BA"/>
    <w:rsid w:val="00601E9F"/>
    <w:rsid w:val="00642F65"/>
    <w:rsid w:val="006627A6"/>
    <w:rsid w:val="006B5D53"/>
    <w:rsid w:val="006E187B"/>
    <w:rsid w:val="006F715C"/>
    <w:rsid w:val="00741E9F"/>
    <w:rsid w:val="0078165D"/>
    <w:rsid w:val="007B4ABA"/>
    <w:rsid w:val="007E57DC"/>
    <w:rsid w:val="007F2159"/>
    <w:rsid w:val="0087678A"/>
    <w:rsid w:val="00885DB6"/>
    <w:rsid w:val="008963BE"/>
    <w:rsid w:val="008A150F"/>
    <w:rsid w:val="009439EC"/>
    <w:rsid w:val="00950FC1"/>
    <w:rsid w:val="0096592E"/>
    <w:rsid w:val="009C0CCB"/>
    <w:rsid w:val="00A36836"/>
    <w:rsid w:val="00A42C11"/>
    <w:rsid w:val="00A65F95"/>
    <w:rsid w:val="00A7433A"/>
    <w:rsid w:val="00A90682"/>
    <w:rsid w:val="00AA35A3"/>
    <w:rsid w:val="00AA5F68"/>
    <w:rsid w:val="00B262B7"/>
    <w:rsid w:val="00B813F2"/>
    <w:rsid w:val="00B861B1"/>
    <w:rsid w:val="00B87CAC"/>
    <w:rsid w:val="00BD3119"/>
    <w:rsid w:val="00BE7B2F"/>
    <w:rsid w:val="00C219BA"/>
    <w:rsid w:val="00C46D46"/>
    <w:rsid w:val="00C51E72"/>
    <w:rsid w:val="00CB6A1B"/>
    <w:rsid w:val="00CC07D9"/>
    <w:rsid w:val="00CD2CB2"/>
    <w:rsid w:val="00CD43F9"/>
    <w:rsid w:val="00D23A53"/>
    <w:rsid w:val="00D47D76"/>
    <w:rsid w:val="00D61619"/>
    <w:rsid w:val="00D63A8A"/>
    <w:rsid w:val="00DE02F3"/>
    <w:rsid w:val="00E02C9D"/>
    <w:rsid w:val="00E6058B"/>
    <w:rsid w:val="00E612ED"/>
    <w:rsid w:val="00E81A13"/>
    <w:rsid w:val="00E9563E"/>
    <w:rsid w:val="00E970BF"/>
    <w:rsid w:val="00ED3999"/>
    <w:rsid w:val="00EE4BD8"/>
    <w:rsid w:val="00F6514E"/>
    <w:rsid w:val="00F674D7"/>
    <w:rsid w:val="00F74DE3"/>
    <w:rsid w:val="00F90975"/>
    <w:rsid w:val="00F94F16"/>
    <w:rsid w:val="00FB1ACD"/>
    <w:rsid w:val="00FF1B6D"/>
    <w:rsid w:val="00FF1B79"/>
    <w:rsid w:val="33430F8C"/>
    <w:rsid w:val="53A4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7">
    <w:name w:val="annotation reference"/>
    <w:basedOn w:val="3"/>
    <w:semiHidden/>
    <w:unhideWhenUsed/>
    <w:qFormat/>
    <w:uiPriority w:val="99"/>
    <w:rPr>
      <w:sz w:val="16"/>
      <w:szCs w:val="16"/>
    </w:rPr>
  </w:style>
  <w:style w:type="character" w:styleId="8">
    <w:name w:val="endnote reference"/>
    <w:basedOn w:val="3"/>
    <w:semiHidden/>
    <w:unhideWhenUsed/>
    <w:qFormat/>
    <w:uiPriority w:val="99"/>
    <w:rPr>
      <w:vertAlign w:val="superscript"/>
    </w:rPr>
  </w:style>
  <w:style w:type="character" w:styleId="9">
    <w:name w:val="Hyperlink"/>
    <w:basedOn w:val="3"/>
    <w:unhideWhenUsed/>
    <w:qFormat/>
    <w:uiPriority w:val="99"/>
    <w:rPr>
      <w:color w:val="0000FF"/>
      <w:u w:val="single"/>
    </w:rPr>
  </w:style>
  <w:style w:type="paragraph" w:styleId="10">
    <w:name w:val="Balloon Text"/>
    <w:basedOn w:val="1"/>
    <w:link w:val="1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endnote text"/>
    <w:basedOn w:val="1"/>
    <w:link w:val="29"/>
    <w:semiHidden/>
    <w:unhideWhenUsed/>
    <w:qFormat/>
    <w:uiPriority w:val="99"/>
    <w:pPr>
      <w:spacing w:after="0" w:line="240" w:lineRule="auto"/>
      <w:ind w:left="1349" w:firstLine="672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en-US" w:eastAsia="en-US"/>
    </w:rPr>
  </w:style>
  <w:style w:type="paragraph" w:styleId="12">
    <w:name w:val="annotation text"/>
    <w:basedOn w:val="1"/>
    <w:link w:val="26"/>
    <w:semiHidden/>
    <w:unhideWhenUsed/>
    <w:qFormat/>
    <w:uiPriority w:val="99"/>
    <w:pPr>
      <w:spacing w:after="5" w:line="240" w:lineRule="auto"/>
      <w:ind w:left="1349" w:firstLine="672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en-US" w:eastAsia="en-US"/>
    </w:rPr>
  </w:style>
  <w:style w:type="paragraph" w:styleId="13">
    <w:name w:val="annotation subject"/>
    <w:basedOn w:val="12"/>
    <w:next w:val="12"/>
    <w:link w:val="27"/>
    <w:semiHidden/>
    <w:unhideWhenUsed/>
    <w:qFormat/>
    <w:uiPriority w:val="99"/>
    <w:rPr>
      <w:b/>
      <w:bCs/>
    </w:rPr>
  </w:style>
  <w:style w:type="paragraph" w:styleId="14">
    <w:name w:val="footnote text"/>
    <w:basedOn w:val="1"/>
    <w:link w:val="23"/>
    <w:semiHidden/>
    <w:unhideWhenUsed/>
    <w:qFormat/>
    <w:uiPriority w:val="99"/>
    <w:pPr>
      <w:spacing w:after="0" w:line="240" w:lineRule="auto"/>
      <w:ind w:left="1349" w:firstLine="672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en-US" w:eastAsia="en-US"/>
    </w:rPr>
  </w:style>
  <w:style w:type="paragraph" w:styleId="15">
    <w:name w:val="header"/>
    <w:basedOn w:val="1"/>
    <w:link w:val="21"/>
    <w:unhideWhenUsed/>
    <w:qFormat/>
    <w:uiPriority w:val="99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hAnsi="Times New Roman" w:eastAsia="Times New Roman" w:cs="Times New Roman"/>
      <w:color w:val="000000"/>
      <w:sz w:val="26"/>
      <w:lang w:val="en-US" w:eastAsia="en-US"/>
    </w:rPr>
  </w:style>
  <w:style w:type="paragraph" w:styleId="16">
    <w:name w:val="footer"/>
    <w:basedOn w:val="1"/>
    <w:link w:val="22"/>
    <w:unhideWhenUsed/>
    <w:qFormat/>
    <w:uiPriority w:val="99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hAnsi="Times New Roman" w:eastAsia="Times New Roman" w:cs="Times New Roman"/>
      <w:color w:val="000000"/>
      <w:sz w:val="26"/>
      <w:lang w:val="en-US" w:eastAsia="en-US"/>
    </w:rPr>
  </w:style>
  <w:style w:type="table" w:styleId="17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ConsPlusNormal"/>
    <w:qFormat/>
    <w:uiPriority w:val="0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9">
    <w:name w:val="Текст выноски Знак"/>
    <w:basedOn w:val="3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0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21">
    <w:name w:val="Верхний колонтитул Знак"/>
    <w:basedOn w:val="3"/>
    <w:link w:val="15"/>
    <w:qFormat/>
    <w:uiPriority w:val="99"/>
    <w:rPr>
      <w:rFonts w:ascii="Times New Roman" w:hAnsi="Times New Roman" w:eastAsia="Times New Roman" w:cs="Times New Roman"/>
      <w:color w:val="000000"/>
      <w:sz w:val="26"/>
      <w:lang w:val="en-US" w:eastAsia="en-US"/>
    </w:rPr>
  </w:style>
  <w:style w:type="character" w:customStyle="1" w:styleId="22">
    <w:name w:val="Нижний колонтитул Знак"/>
    <w:basedOn w:val="3"/>
    <w:link w:val="16"/>
    <w:qFormat/>
    <w:uiPriority w:val="99"/>
    <w:rPr>
      <w:rFonts w:ascii="Times New Roman" w:hAnsi="Times New Roman" w:eastAsia="Times New Roman" w:cs="Times New Roman"/>
      <w:color w:val="000000"/>
      <w:sz w:val="26"/>
      <w:lang w:val="en-US" w:eastAsia="en-US"/>
    </w:rPr>
  </w:style>
  <w:style w:type="character" w:customStyle="1" w:styleId="23">
    <w:name w:val="Текст сноски Знак"/>
    <w:basedOn w:val="3"/>
    <w:link w:val="14"/>
    <w:semiHidden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val="en-US" w:eastAsia="en-US"/>
    </w:rPr>
  </w:style>
  <w:style w:type="table" w:customStyle="1" w:styleId="24">
    <w:name w:val="Сетка таблицы1"/>
    <w:basedOn w:val="4"/>
    <w:qFormat/>
    <w:uiPriority w:val="59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5">
    <w:name w:val="List Paragraph"/>
    <w:basedOn w:val="1"/>
    <w:qFormat/>
    <w:uiPriority w:val="34"/>
    <w:pPr>
      <w:spacing w:after="5" w:line="287" w:lineRule="auto"/>
      <w:ind w:left="720" w:firstLine="672"/>
      <w:contextualSpacing/>
      <w:jc w:val="both"/>
    </w:pPr>
    <w:rPr>
      <w:rFonts w:ascii="Times New Roman" w:hAnsi="Times New Roman" w:eastAsia="Times New Roman" w:cs="Times New Roman"/>
      <w:color w:val="000000"/>
      <w:sz w:val="26"/>
      <w:lang w:val="en-US" w:eastAsia="en-US"/>
    </w:rPr>
  </w:style>
  <w:style w:type="character" w:customStyle="1" w:styleId="26">
    <w:name w:val="Текст примечания Знак"/>
    <w:basedOn w:val="3"/>
    <w:link w:val="12"/>
    <w:semiHidden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val="en-US" w:eastAsia="en-US"/>
    </w:rPr>
  </w:style>
  <w:style w:type="character" w:customStyle="1" w:styleId="27">
    <w:name w:val="Тема примечания Знак"/>
    <w:basedOn w:val="26"/>
    <w:link w:val="13"/>
    <w:semiHidden/>
    <w:qFormat/>
    <w:uiPriority w:val="99"/>
    <w:rPr>
      <w:rFonts w:ascii="Times New Roman" w:hAnsi="Times New Roman" w:eastAsia="Times New Roman" w:cs="Times New Roman"/>
      <w:b/>
      <w:bCs/>
      <w:color w:val="000000"/>
      <w:sz w:val="20"/>
      <w:szCs w:val="20"/>
      <w:lang w:val="en-US" w:eastAsia="en-US"/>
    </w:rPr>
  </w:style>
  <w:style w:type="paragraph" w:customStyle="1" w:styleId="28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color w:val="000000"/>
      <w:sz w:val="26"/>
      <w:szCs w:val="22"/>
      <w:lang w:val="en-US" w:eastAsia="en-US" w:bidi="ar-SA"/>
    </w:rPr>
  </w:style>
  <w:style w:type="character" w:customStyle="1" w:styleId="29">
    <w:name w:val="Текст концевой сноски Знак"/>
    <w:basedOn w:val="3"/>
    <w:link w:val="11"/>
    <w:semiHidden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val="en-US" w:eastAsia="en-US"/>
    </w:rPr>
  </w:style>
  <w:style w:type="paragraph" w:customStyle="1" w:styleId="30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F1757-9EAC-4261-A62C-100A4A925D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36</Pages>
  <Words>6192</Words>
  <Characters>35299</Characters>
  <Lines>294</Lines>
  <Paragraphs>82</Paragraphs>
  <TotalTime>1</TotalTime>
  <ScaleCrop>false</ScaleCrop>
  <LinksUpToDate>false</LinksUpToDate>
  <CharactersWithSpaces>41409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2026-09-02T12:10:00Z</dcterms:created>
  <dc:creator>User_33</dc:creator>
  <cp:lastModifiedBy>UserCCVCV</cp:lastModifiedBy>
  <cp:lastPrinted>2026-09-30T12:38:00Z</cp:lastPrinted>
  <dcterms:modified xsi:type="dcterms:W3CDTF">2026-10-01T07:34:34Z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8A9AF7559B5F4F0EADB6BAAF99A00927</vt:lpwstr>
  </property>
</Properties>
</file>